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Thales Alves de Andrade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Date of Birth: 06/30/1994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thaldeandrade@gmail.com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Phones: 55 21 2451-5668 / 55 21 98816-7997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Address: Mirinduba St., 482, House 1 – Honório Gurgel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ZIP Code: 21555-000 – Brazil – Rio de Janeiro, RJ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Gender: Male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Nationality: Brazilian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Work Experience: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Business Processing Agent I at Tivit Terceirização de Processos, Serviços e Tecnologia (Outsourcing of Processes, Services and Technology) S.A. (11/2015)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Experiences: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General Services Assistant at ONG Associação de Pais e Atletas (NGO Parents and Athletes Association. 01/2014-11/2015)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Freelancer Translator (07/2017-Present)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Fantasy Novels translated and published in Brazilian Portuguese: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Marc Secchia’s “Shapeshifting Dragons” (two out of four complete books) and “Shapeshifting Dragons Legends” (two complete books)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Languages: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Medium-level English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Native Brazlian Portuguese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aldeand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